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BF" w:rsidRPr="001729BF" w:rsidRDefault="001729BF" w:rsidP="001729BF">
      <w:pPr>
        <w:pStyle w:val="NormaleWeb"/>
        <w:jc w:val="center"/>
        <w:rPr>
          <w:rFonts w:ascii="Verdana" w:hAnsi="Verdana"/>
          <w:color w:val="000000"/>
        </w:rPr>
      </w:pPr>
      <w:bookmarkStart w:id="0" w:name="IV._IL_DIRITTO_AL_LAVORO"/>
      <w:bookmarkStart w:id="1" w:name="PARTE_SECONDA"/>
      <w:r w:rsidRPr="001729BF">
        <w:rPr>
          <w:rFonts w:ascii="Verdana" w:hAnsi="Verdana"/>
          <w:color w:val="663300"/>
        </w:rPr>
        <w:t>PONTIFICIO CONSIGLIO DELLA GIUSTIZIA E DELLA PACE</w:t>
      </w:r>
    </w:p>
    <w:p w:rsidR="001729BF" w:rsidRPr="001729BF" w:rsidRDefault="001729BF" w:rsidP="001729BF">
      <w:pPr>
        <w:pStyle w:val="NormaleWeb"/>
        <w:jc w:val="center"/>
        <w:rPr>
          <w:rFonts w:ascii="Verdana" w:hAnsi="Verdana"/>
          <w:color w:val="000000"/>
          <w:sz w:val="28"/>
          <w:szCs w:val="28"/>
        </w:rPr>
      </w:pPr>
      <w:r w:rsidRPr="001729BF">
        <w:rPr>
          <w:rFonts w:ascii="Verdana" w:hAnsi="Verdana"/>
          <w:b/>
          <w:bCs/>
          <w:color w:val="663300"/>
          <w:sz w:val="28"/>
          <w:szCs w:val="28"/>
        </w:rPr>
        <w:t>COMPENDIO</w:t>
      </w:r>
      <w:r w:rsidRPr="001729BF">
        <w:rPr>
          <w:rFonts w:ascii="Verdana" w:hAnsi="Verdana"/>
          <w:b/>
          <w:bCs/>
          <w:color w:val="663300"/>
          <w:sz w:val="28"/>
          <w:szCs w:val="28"/>
        </w:rPr>
        <w:br/>
        <w:t>DELLA DOTTRINA SOCIALE</w:t>
      </w:r>
      <w:r w:rsidRPr="001729BF">
        <w:rPr>
          <w:rFonts w:ascii="Verdana" w:hAnsi="Verdana"/>
          <w:b/>
          <w:bCs/>
          <w:color w:val="663300"/>
          <w:sz w:val="28"/>
          <w:szCs w:val="28"/>
        </w:rPr>
        <w:br/>
        <w:t>DELLA CHIESA</w:t>
      </w:r>
    </w:p>
    <w:p w:rsidR="001729BF" w:rsidRPr="001729BF" w:rsidRDefault="001729BF" w:rsidP="001729BF">
      <w:pPr>
        <w:pStyle w:val="NormaleWeb"/>
        <w:jc w:val="center"/>
        <w:rPr>
          <w:rFonts w:ascii="Verdana" w:hAnsi="Verdana"/>
          <w:bCs/>
          <w:color w:val="663300"/>
        </w:rPr>
      </w:pPr>
      <w:r w:rsidRPr="001729BF">
        <w:rPr>
          <w:rFonts w:ascii="Verdana" w:hAnsi="Verdana"/>
          <w:bCs/>
          <w:color w:val="663300"/>
        </w:rPr>
        <w:t>(omissis)</w:t>
      </w:r>
    </w:p>
    <w:p w:rsidR="001729BF" w:rsidRPr="001729BF" w:rsidRDefault="001729BF" w:rsidP="001729BF">
      <w:pPr>
        <w:pStyle w:val="NormaleWeb"/>
        <w:jc w:val="center"/>
        <w:rPr>
          <w:rFonts w:ascii="Verdana" w:hAnsi="Verdana"/>
          <w:b/>
          <w:bCs/>
          <w:color w:val="663300"/>
        </w:rPr>
      </w:pPr>
    </w:p>
    <w:p w:rsidR="001729BF" w:rsidRPr="001729BF" w:rsidRDefault="001729BF" w:rsidP="001729BF">
      <w:pPr>
        <w:pStyle w:val="NormaleWeb"/>
        <w:jc w:val="center"/>
        <w:rPr>
          <w:rFonts w:ascii="Verdana" w:hAnsi="Verdana"/>
          <w:color w:val="000000"/>
        </w:rPr>
      </w:pPr>
      <w:r w:rsidRPr="001729BF">
        <w:rPr>
          <w:rFonts w:ascii="Verdana" w:hAnsi="Verdana"/>
          <w:b/>
          <w:bCs/>
          <w:color w:val="663300"/>
        </w:rPr>
        <w:t>PARTE SECONDA</w:t>
      </w:r>
      <w:bookmarkEnd w:id="1"/>
    </w:p>
    <w:p w:rsidR="001729BF" w:rsidRPr="001729BF" w:rsidRDefault="001729BF" w:rsidP="001729BF">
      <w:pPr>
        <w:pStyle w:val="NormaleWeb"/>
        <w:jc w:val="right"/>
        <w:rPr>
          <w:rFonts w:ascii="Verdana" w:hAnsi="Verdana"/>
          <w:color w:val="000000"/>
        </w:rPr>
      </w:pPr>
      <w:r w:rsidRPr="001729BF">
        <w:rPr>
          <w:rFonts w:ascii="Verdana" w:hAnsi="Verdana"/>
          <w:color w:val="663300"/>
        </w:rPr>
        <w:t>« ... la</w:t>
      </w:r>
      <w:r w:rsidRPr="001729BF">
        <w:rPr>
          <w:rStyle w:val="apple-converted-space"/>
          <w:rFonts w:ascii="Verdana" w:hAnsi="Verdana"/>
          <w:i/>
          <w:iCs/>
          <w:color w:val="663300"/>
        </w:rPr>
        <w:t> </w:t>
      </w:r>
      <w:r w:rsidRPr="001729BF">
        <w:rPr>
          <w:rFonts w:ascii="Verdana" w:hAnsi="Verdana"/>
          <w:i/>
          <w:iCs/>
          <w:color w:val="663300"/>
        </w:rPr>
        <w:t>dottrina sociale</w:t>
      </w:r>
      <w:r w:rsidRPr="001729BF">
        <w:rPr>
          <w:rStyle w:val="apple-converted-space"/>
          <w:rFonts w:ascii="Verdana" w:hAnsi="Verdana"/>
          <w:color w:val="663300"/>
        </w:rPr>
        <w:t> </w:t>
      </w:r>
      <w:r w:rsidRPr="001729BF">
        <w:rPr>
          <w:rFonts w:ascii="Verdana" w:hAnsi="Verdana"/>
          <w:color w:val="663300"/>
        </w:rPr>
        <w:t>ha di per sé il valore</w:t>
      </w:r>
      <w:r w:rsidRPr="001729BF">
        <w:rPr>
          <w:rFonts w:ascii="Verdana" w:hAnsi="Verdana"/>
          <w:color w:val="663300"/>
        </w:rPr>
        <w:br/>
        <w:t>di un</w:t>
      </w:r>
      <w:r w:rsidRPr="001729BF">
        <w:rPr>
          <w:rFonts w:ascii="Verdana" w:hAnsi="Verdana"/>
          <w:i/>
          <w:iCs/>
          <w:color w:val="663300"/>
        </w:rPr>
        <w:t>o strumento di evangelizzazione</w:t>
      </w:r>
      <w:r w:rsidRPr="001729BF">
        <w:rPr>
          <w:rFonts w:ascii="Verdana" w:hAnsi="Verdana"/>
          <w:color w:val="663300"/>
        </w:rPr>
        <w:t>: in quanto tale, annuncia Dio</w:t>
      </w:r>
      <w:r w:rsidRPr="001729BF">
        <w:rPr>
          <w:rFonts w:ascii="Verdana" w:hAnsi="Verdana"/>
          <w:color w:val="663300"/>
        </w:rPr>
        <w:br/>
        <w:t>ed il mistero di salvezza in Cristo ad ogni uomo e,</w:t>
      </w:r>
      <w:r w:rsidRPr="001729BF">
        <w:rPr>
          <w:rFonts w:ascii="Verdana" w:hAnsi="Verdana"/>
          <w:color w:val="663300"/>
        </w:rPr>
        <w:br/>
        <w:t>per la medesima ragione, rivela l'uomo a se stesso.</w:t>
      </w:r>
      <w:r w:rsidRPr="001729BF">
        <w:rPr>
          <w:rFonts w:ascii="Verdana" w:hAnsi="Verdana"/>
          <w:color w:val="663300"/>
        </w:rPr>
        <w:br/>
        <w:t>In questa luce, e solo in questa luce, si occupa del resto:</w:t>
      </w:r>
      <w:r w:rsidRPr="001729BF">
        <w:rPr>
          <w:rFonts w:ascii="Verdana" w:hAnsi="Verdana"/>
          <w:color w:val="663300"/>
        </w:rPr>
        <w:br/>
        <w:t>dei diritti umani di ciascuno e, in particolare, del “proletariato”,</w:t>
      </w:r>
      <w:r w:rsidRPr="001729BF">
        <w:rPr>
          <w:rFonts w:ascii="Verdana" w:hAnsi="Verdana"/>
          <w:color w:val="663300"/>
        </w:rPr>
        <w:br/>
        <w:t>della famiglia e dell'educazione, dei doveri dello Stato,</w:t>
      </w:r>
      <w:r w:rsidRPr="001729BF">
        <w:rPr>
          <w:rFonts w:ascii="Verdana" w:hAnsi="Verdana"/>
          <w:color w:val="663300"/>
        </w:rPr>
        <w:br/>
        <w:t>dell'ordinamento della società nazionale e internazionale,</w:t>
      </w:r>
      <w:r w:rsidRPr="001729BF">
        <w:rPr>
          <w:rFonts w:ascii="Verdana" w:hAnsi="Verdana"/>
          <w:color w:val="663300"/>
        </w:rPr>
        <w:br/>
        <w:t>della vita economica, della cultura, della guerra e della pace,</w:t>
      </w:r>
      <w:r w:rsidRPr="001729BF">
        <w:rPr>
          <w:rFonts w:ascii="Verdana" w:hAnsi="Verdana"/>
          <w:color w:val="663300"/>
        </w:rPr>
        <w:br/>
        <w:t>del rispetto alla vita dal momento del concepimento</w:t>
      </w:r>
      <w:r w:rsidRPr="001729BF">
        <w:rPr>
          <w:rFonts w:ascii="Verdana" w:hAnsi="Verdana"/>
          <w:color w:val="663300"/>
        </w:rPr>
        <w:br/>
        <w:t>fino alla morte ».</w:t>
      </w:r>
    </w:p>
    <w:p w:rsidR="001729BF" w:rsidRPr="001729BF" w:rsidRDefault="001729BF" w:rsidP="001729BF">
      <w:pPr>
        <w:pStyle w:val="NormaleWeb"/>
        <w:jc w:val="right"/>
        <w:rPr>
          <w:rFonts w:ascii="Verdana" w:hAnsi="Verdana"/>
          <w:color w:val="000000"/>
        </w:rPr>
      </w:pPr>
      <w:r w:rsidRPr="001729BF">
        <w:rPr>
          <w:rFonts w:ascii="Verdana" w:hAnsi="Verdana"/>
          <w:color w:val="663300"/>
        </w:rPr>
        <w:t>(</w:t>
      </w:r>
      <w:proofErr w:type="spellStart"/>
      <w:r w:rsidRPr="001729BF">
        <w:rPr>
          <w:rFonts w:ascii="Verdana" w:hAnsi="Verdana"/>
          <w:color w:val="663300"/>
        </w:rPr>
        <w:fldChar w:fldCharType="begin"/>
      </w:r>
      <w:r w:rsidRPr="001729BF">
        <w:rPr>
          <w:rFonts w:ascii="Verdana" w:hAnsi="Verdana"/>
          <w:color w:val="663300"/>
        </w:rPr>
        <w:instrText xml:space="preserve"> HYPERLINK "http://www.vatican.va/edocs/ITA1214/__P7.HTM" </w:instrText>
      </w:r>
      <w:r w:rsidRPr="001729BF">
        <w:rPr>
          <w:rFonts w:ascii="Verdana" w:hAnsi="Verdana"/>
          <w:color w:val="663300"/>
        </w:rPr>
        <w:fldChar w:fldCharType="separate"/>
      </w:r>
      <w:r w:rsidRPr="001729BF">
        <w:rPr>
          <w:rStyle w:val="Collegamentoipertestuale"/>
          <w:rFonts w:ascii="Verdana" w:hAnsi="Verdana"/>
          <w:i/>
          <w:iCs/>
        </w:rPr>
        <w:t>Centesimus</w:t>
      </w:r>
      <w:proofErr w:type="spellEnd"/>
      <w:r w:rsidRPr="001729BF">
        <w:rPr>
          <w:rStyle w:val="Collegamentoipertestuale"/>
          <w:rFonts w:ascii="Verdana" w:hAnsi="Verdana"/>
          <w:i/>
          <w:iCs/>
        </w:rPr>
        <w:t xml:space="preserve"> </w:t>
      </w:r>
      <w:proofErr w:type="spellStart"/>
      <w:r w:rsidRPr="001729BF">
        <w:rPr>
          <w:rStyle w:val="Collegamentoipertestuale"/>
          <w:rFonts w:ascii="Verdana" w:hAnsi="Verdana"/>
          <w:i/>
          <w:iCs/>
        </w:rPr>
        <w:t>annus</w:t>
      </w:r>
      <w:proofErr w:type="spellEnd"/>
      <w:r w:rsidRPr="001729BF">
        <w:rPr>
          <w:rStyle w:val="Collegamentoipertestuale"/>
          <w:rFonts w:ascii="Verdana" w:hAnsi="Verdana"/>
        </w:rPr>
        <w:t>, 54</w:t>
      </w:r>
      <w:r w:rsidRPr="001729BF">
        <w:rPr>
          <w:rFonts w:ascii="Verdana" w:hAnsi="Verdana"/>
          <w:color w:val="663300"/>
        </w:rPr>
        <w:fldChar w:fldCharType="end"/>
      </w:r>
      <w:r w:rsidRPr="001729BF">
        <w:rPr>
          <w:rFonts w:ascii="Verdana" w:hAnsi="Verdana"/>
          <w:color w:val="663300"/>
        </w:rPr>
        <w:t>)</w:t>
      </w:r>
    </w:p>
    <w:p w:rsidR="001729BF" w:rsidRPr="001729BF" w:rsidRDefault="001729BF" w:rsidP="001729BF">
      <w:pPr>
        <w:pStyle w:val="NormaleWeb"/>
        <w:jc w:val="center"/>
        <w:rPr>
          <w:rFonts w:ascii="Verdana" w:hAnsi="Verdana"/>
          <w:b/>
          <w:bCs/>
          <w:color w:val="663300"/>
        </w:rPr>
      </w:pPr>
    </w:p>
    <w:p w:rsidR="001729BF" w:rsidRPr="001729BF" w:rsidRDefault="001729BF" w:rsidP="001729BF">
      <w:pPr>
        <w:pStyle w:val="NormaleWeb"/>
        <w:jc w:val="center"/>
        <w:rPr>
          <w:rFonts w:ascii="Verdana" w:hAnsi="Verdana"/>
          <w:bCs/>
          <w:color w:val="663300"/>
        </w:rPr>
      </w:pPr>
      <w:r w:rsidRPr="001729BF">
        <w:rPr>
          <w:rFonts w:ascii="Verdana" w:hAnsi="Verdana"/>
          <w:bCs/>
          <w:color w:val="663300"/>
        </w:rPr>
        <w:t>(omissis)</w:t>
      </w:r>
    </w:p>
    <w:p w:rsidR="001729BF" w:rsidRPr="001729BF" w:rsidRDefault="001729BF" w:rsidP="001729BF">
      <w:pPr>
        <w:pStyle w:val="NormaleWeb"/>
        <w:jc w:val="center"/>
        <w:rPr>
          <w:rFonts w:ascii="Verdana" w:hAnsi="Verdana"/>
          <w:b/>
          <w:bCs/>
          <w:color w:val="663300"/>
        </w:rPr>
      </w:pPr>
    </w:p>
    <w:p w:rsidR="001729BF" w:rsidRPr="001729BF" w:rsidRDefault="001729BF" w:rsidP="001729BF">
      <w:pPr>
        <w:pStyle w:val="NormaleWeb"/>
        <w:jc w:val="center"/>
        <w:rPr>
          <w:rFonts w:ascii="Verdana" w:hAnsi="Verdana"/>
          <w:color w:val="000000"/>
        </w:rPr>
      </w:pPr>
      <w:r w:rsidRPr="001729BF">
        <w:rPr>
          <w:rFonts w:ascii="Verdana" w:hAnsi="Verdana"/>
          <w:b/>
          <w:bCs/>
          <w:color w:val="663300"/>
        </w:rPr>
        <w:t>CAPITOLO SESTO</w:t>
      </w:r>
    </w:p>
    <w:p w:rsidR="001729BF" w:rsidRPr="001729BF" w:rsidRDefault="001729BF" w:rsidP="001729BF">
      <w:pPr>
        <w:pStyle w:val="NormaleWeb"/>
        <w:jc w:val="center"/>
        <w:rPr>
          <w:rFonts w:ascii="Verdana" w:hAnsi="Verdana"/>
          <w:color w:val="000000"/>
        </w:rPr>
      </w:pPr>
      <w:bookmarkStart w:id="2" w:name="IL_LAVORO_UMANO"/>
      <w:r w:rsidRPr="001729BF">
        <w:rPr>
          <w:rFonts w:ascii="Verdana" w:hAnsi="Verdana"/>
          <w:color w:val="663300"/>
        </w:rPr>
        <w:t>IL LAVORO UMANO</w:t>
      </w:r>
      <w:bookmarkEnd w:id="2"/>
    </w:p>
    <w:p w:rsidR="001729BF" w:rsidRPr="001729BF" w:rsidRDefault="001729BF" w:rsidP="001729BF">
      <w:pPr>
        <w:pStyle w:val="NormaleWeb"/>
        <w:jc w:val="center"/>
        <w:rPr>
          <w:rFonts w:ascii="Verdana" w:hAnsi="Verdana"/>
          <w:bCs/>
          <w:color w:val="663300"/>
        </w:rPr>
      </w:pPr>
      <w:r w:rsidRPr="001729BF">
        <w:rPr>
          <w:rFonts w:ascii="Verdana" w:hAnsi="Verdana"/>
          <w:bCs/>
          <w:color w:val="663300"/>
        </w:rPr>
        <w:t>(omissis)</w:t>
      </w:r>
    </w:p>
    <w:p w:rsidR="001729BF" w:rsidRPr="001729BF" w:rsidRDefault="001729BF">
      <w:pPr>
        <w:rPr>
          <w:rFonts w:ascii="Verdana" w:hAnsi="Verdana"/>
          <w:b/>
          <w:bCs/>
          <w:color w:val="663300"/>
          <w:sz w:val="24"/>
          <w:szCs w:val="24"/>
        </w:rPr>
      </w:pPr>
    </w:p>
    <w:p w:rsidR="006B71F4" w:rsidRPr="001729BF" w:rsidRDefault="001729BF">
      <w:pPr>
        <w:rPr>
          <w:rFonts w:ascii="Verdana" w:hAnsi="Verdana"/>
          <w:sz w:val="24"/>
          <w:szCs w:val="24"/>
        </w:rPr>
      </w:pPr>
      <w:r w:rsidRPr="001729BF">
        <w:rPr>
          <w:rFonts w:ascii="Verdana" w:hAnsi="Verdana"/>
          <w:b/>
          <w:bCs/>
          <w:color w:val="663300"/>
          <w:sz w:val="24"/>
          <w:szCs w:val="24"/>
        </w:rPr>
        <w:t>IV. IL DIRITTO AL LAVORO</w:t>
      </w:r>
      <w:bookmarkEnd w:id="0"/>
    </w:p>
    <w:p w:rsidR="001729BF" w:rsidRPr="001729BF" w:rsidRDefault="001729BF" w:rsidP="001729BF">
      <w:pPr>
        <w:pStyle w:val="NormaleWeb"/>
        <w:jc w:val="center"/>
        <w:rPr>
          <w:rFonts w:ascii="Verdana" w:hAnsi="Verdana"/>
          <w:bCs/>
          <w:color w:val="663300"/>
        </w:rPr>
      </w:pPr>
      <w:r w:rsidRPr="001729BF">
        <w:rPr>
          <w:rFonts w:ascii="Verdana" w:hAnsi="Verdana"/>
          <w:bCs/>
          <w:color w:val="663300"/>
        </w:rPr>
        <w:t>(omissis)</w:t>
      </w:r>
    </w:p>
    <w:p w:rsidR="001729BF" w:rsidRDefault="001729BF">
      <w:pPr>
        <w:rPr>
          <w:rFonts w:ascii="Verdana" w:hAnsi="Verdana"/>
          <w:sz w:val="24"/>
          <w:szCs w:val="24"/>
        </w:rPr>
      </w:pPr>
    </w:p>
    <w:p w:rsidR="001729BF" w:rsidRDefault="001729BF">
      <w:pPr>
        <w:rPr>
          <w:rFonts w:ascii="Verdana" w:hAnsi="Verdana"/>
          <w:sz w:val="24"/>
          <w:szCs w:val="24"/>
        </w:rPr>
      </w:pPr>
    </w:p>
    <w:p w:rsidR="001729BF" w:rsidRPr="001729BF" w:rsidRDefault="001729BF">
      <w:pPr>
        <w:rPr>
          <w:rFonts w:ascii="Verdana" w:hAnsi="Verdana"/>
          <w:sz w:val="24"/>
          <w:szCs w:val="24"/>
        </w:rPr>
      </w:pPr>
    </w:p>
    <w:p w:rsidR="001729BF" w:rsidRPr="001729BF" w:rsidRDefault="001729BF" w:rsidP="001729BF">
      <w:pPr>
        <w:pStyle w:val="NormaleWeb"/>
        <w:rPr>
          <w:rFonts w:ascii="Verdana" w:hAnsi="Verdana"/>
          <w:color w:val="000000"/>
        </w:rPr>
      </w:pPr>
      <w:bookmarkStart w:id="3" w:name="f)_Lemigrazione_e_il_lavoro"/>
      <w:r w:rsidRPr="001729BF">
        <w:rPr>
          <w:rFonts w:ascii="Verdana" w:hAnsi="Verdana"/>
          <w:color w:val="663300"/>
        </w:rPr>
        <w:t>f)</w:t>
      </w:r>
      <w:r w:rsidRPr="001729BF">
        <w:rPr>
          <w:rStyle w:val="apple-converted-space"/>
          <w:rFonts w:ascii="Verdana" w:hAnsi="Verdana"/>
          <w:color w:val="663300"/>
        </w:rPr>
        <w:t> </w:t>
      </w:r>
      <w:r w:rsidRPr="001729BF">
        <w:rPr>
          <w:rFonts w:ascii="Verdana" w:hAnsi="Verdana"/>
          <w:b/>
          <w:bCs/>
          <w:color w:val="663300"/>
        </w:rPr>
        <w:t>L'emigrazione e il lavoro</w:t>
      </w:r>
      <w:bookmarkEnd w:id="3"/>
    </w:p>
    <w:p w:rsidR="001729BF" w:rsidRPr="001729BF" w:rsidRDefault="001729BF" w:rsidP="001729BF">
      <w:pPr>
        <w:pStyle w:val="NormaleWeb"/>
        <w:rPr>
          <w:rFonts w:ascii="Verdana" w:hAnsi="Verdana"/>
          <w:color w:val="000000"/>
        </w:rPr>
      </w:pPr>
      <w:r w:rsidRPr="001729BF">
        <w:rPr>
          <w:rFonts w:ascii="Verdana" w:hAnsi="Verdana"/>
          <w:b/>
          <w:bCs/>
          <w:color w:val="000000"/>
        </w:rPr>
        <w:t>297</w:t>
      </w:r>
      <w:r w:rsidRPr="001729BF">
        <w:rPr>
          <w:rStyle w:val="apple-converted-space"/>
          <w:rFonts w:ascii="Verdana" w:hAnsi="Verdana"/>
          <w:b/>
          <w:bCs/>
          <w:color w:val="000000"/>
        </w:rPr>
        <w:t> </w:t>
      </w:r>
      <w:r w:rsidRPr="001729BF">
        <w:rPr>
          <w:rFonts w:ascii="Verdana" w:hAnsi="Verdana"/>
          <w:i/>
          <w:iCs/>
          <w:color w:val="000000"/>
        </w:rPr>
        <w:t>L'immigrazione può essere una risorsa, anziché un ostacolo per lo sviluppo</w:t>
      </w:r>
      <w:r w:rsidRPr="001729BF">
        <w:rPr>
          <w:rFonts w:ascii="Verdana" w:hAnsi="Verdana"/>
          <w:color w:val="000000"/>
        </w:rPr>
        <w:t>. Nel mondo attuale, in cui si aggrava lo squilibrio fra Paesi ricchi e Paesi poveri e in cui lo sviluppo delle comunicazioni riduce rapidamente le distanze, crescono le migrazioni di persone in cerca di migliori condizioni di vita, provenienti dalle zone meno favorite della terra: il loro arrivo nei Paesi sviluppati è spesso percepito come una minaccia per gli elevati livelli di benessere raggiunti grazie a decenni di crescita economica. Gli immigrati, tuttavia, nella maggioranza dei casi, rispondono a una domanda di lavoro che altrimenti resterebbe insoddisfatta, in settori e in territori nei quali la manodopera locale è insufficiente o non disposta a fornire il proprio contributo lavorativo.</w:t>
      </w:r>
    </w:p>
    <w:p w:rsidR="001729BF" w:rsidRPr="001729BF" w:rsidRDefault="001729BF" w:rsidP="001729BF">
      <w:pPr>
        <w:pStyle w:val="NormaleWeb"/>
        <w:rPr>
          <w:rFonts w:ascii="Verdana" w:hAnsi="Verdana"/>
          <w:color w:val="000000"/>
        </w:rPr>
      </w:pPr>
      <w:r w:rsidRPr="001729BF">
        <w:rPr>
          <w:rFonts w:ascii="Verdana" w:hAnsi="Verdana"/>
          <w:b/>
          <w:bCs/>
          <w:color w:val="000000"/>
        </w:rPr>
        <w:t>298</w:t>
      </w:r>
      <w:r w:rsidRPr="001729BF">
        <w:rPr>
          <w:rStyle w:val="apple-converted-space"/>
          <w:rFonts w:ascii="Verdana" w:hAnsi="Verdana"/>
          <w:b/>
          <w:bCs/>
          <w:color w:val="000000"/>
        </w:rPr>
        <w:t> </w:t>
      </w:r>
      <w:r w:rsidRPr="001729BF">
        <w:rPr>
          <w:rFonts w:ascii="Verdana" w:hAnsi="Verdana"/>
          <w:i/>
          <w:iCs/>
          <w:color w:val="000000"/>
        </w:rPr>
        <w:t>Le istituzioni dei Paesi ospiti devono vigilare accuratamente affinché non si diffonda la tentazione di sfruttare la manodopera straniera, privandola dei diritti garantiti ai lavoratori nazionali</w:t>
      </w:r>
      <w:r w:rsidRPr="001729BF">
        <w:rPr>
          <w:rFonts w:ascii="Verdana" w:hAnsi="Verdana"/>
          <w:color w:val="000000"/>
        </w:rPr>
        <w:t>,</w:t>
      </w:r>
      <w:r w:rsidRPr="001729BF">
        <w:rPr>
          <w:rStyle w:val="apple-converted-space"/>
          <w:rFonts w:ascii="Verdana" w:hAnsi="Verdana"/>
          <w:i/>
          <w:iCs/>
          <w:color w:val="000000"/>
        </w:rPr>
        <w:t> </w:t>
      </w:r>
      <w:r w:rsidRPr="001729BF">
        <w:rPr>
          <w:rFonts w:ascii="Verdana" w:hAnsi="Verdana"/>
          <w:i/>
          <w:iCs/>
          <w:color w:val="000000"/>
        </w:rPr>
        <w:t>che devono essere assicurati a tutti senza discriminazioni</w:t>
      </w:r>
      <w:r w:rsidRPr="001729BF">
        <w:rPr>
          <w:rFonts w:ascii="Verdana" w:hAnsi="Verdana"/>
          <w:color w:val="000000"/>
        </w:rPr>
        <w:t>. La regolamentazione dei flussi migratori secondo criteri di equità e di equilibrio</w:t>
      </w:r>
      <w:r w:rsidRPr="001729BF">
        <w:rPr>
          <w:rFonts w:ascii="Verdana" w:hAnsi="Verdana"/>
          <w:color w:val="000000"/>
          <w:vertAlign w:val="superscript"/>
        </w:rPr>
        <w:t>643</w:t>
      </w:r>
      <w:r w:rsidRPr="001729BF">
        <w:rPr>
          <w:rStyle w:val="apple-converted-space"/>
          <w:rFonts w:ascii="Verdana" w:hAnsi="Verdana"/>
          <w:color w:val="000000"/>
        </w:rPr>
        <w:t> </w:t>
      </w:r>
      <w:r w:rsidRPr="001729BF">
        <w:rPr>
          <w:rFonts w:ascii="Verdana" w:hAnsi="Verdana"/>
          <w:color w:val="000000"/>
        </w:rPr>
        <w:t>è una delle condizioni indispensabili per ottenere che gli inserimenti avvengano con le garanzie richieste dalla dignità della persona umana. Gli immigrati devono essere accolti in quanto persone e aiutati, insieme alle loro famiglie, ad integrarsi nella vita sociale.</w:t>
      </w:r>
      <w:r w:rsidRPr="001729BF">
        <w:rPr>
          <w:rFonts w:ascii="Verdana" w:hAnsi="Verdana"/>
          <w:color w:val="000000"/>
          <w:vertAlign w:val="superscript"/>
        </w:rPr>
        <w:t>644</w:t>
      </w:r>
      <w:r w:rsidRPr="001729BF">
        <w:rPr>
          <w:rStyle w:val="apple-converted-space"/>
          <w:rFonts w:ascii="Verdana" w:hAnsi="Verdana"/>
          <w:color w:val="000000"/>
        </w:rPr>
        <w:t> </w:t>
      </w:r>
      <w:r w:rsidRPr="001729BF">
        <w:rPr>
          <w:rFonts w:ascii="Verdana" w:hAnsi="Verdana"/>
          <w:color w:val="000000"/>
        </w:rPr>
        <w:t>In tale prospettiva</w:t>
      </w:r>
      <w:r w:rsidRPr="001729BF">
        <w:rPr>
          <w:rStyle w:val="apple-converted-space"/>
          <w:rFonts w:ascii="Verdana" w:hAnsi="Verdana"/>
          <w:i/>
          <w:iCs/>
          <w:color w:val="000000"/>
        </w:rPr>
        <w:t> </w:t>
      </w:r>
      <w:r w:rsidRPr="001729BF">
        <w:rPr>
          <w:rFonts w:ascii="Verdana" w:hAnsi="Verdana"/>
          <w:i/>
          <w:iCs/>
          <w:color w:val="000000"/>
        </w:rPr>
        <w:t>va rispettato e promosso il diritto al ricongiungimento familiare</w:t>
      </w:r>
      <w:r w:rsidRPr="001729BF">
        <w:rPr>
          <w:rFonts w:ascii="Verdana" w:hAnsi="Verdana"/>
          <w:color w:val="000000"/>
        </w:rPr>
        <w:t>.</w:t>
      </w:r>
      <w:r w:rsidRPr="001729BF">
        <w:rPr>
          <w:rFonts w:ascii="Verdana" w:hAnsi="Verdana"/>
          <w:color w:val="000000"/>
          <w:vertAlign w:val="superscript"/>
        </w:rPr>
        <w:t>645</w:t>
      </w:r>
      <w:r w:rsidRPr="001729BF">
        <w:rPr>
          <w:rStyle w:val="apple-converted-space"/>
          <w:rFonts w:ascii="Verdana" w:hAnsi="Verdana"/>
          <w:color w:val="000000"/>
        </w:rPr>
        <w:t> </w:t>
      </w:r>
      <w:r w:rsidRPr="001729BF">
        <w:rPr>
          <w:rFonts w:ascii="Verdana" w:hAnsi="Verdana"/>
          <w:color w:val="000000"/>
        </w:rPr>
        <w:t>Nello stesso tempo, per quanto è possibile, vanno favorite tutte quelle condizioni che consentono accresciute possibilità di lavoro nelle proprie zone di origine.</w:t>
      </w:r>
      <w:r w:rsidRPr="001729BF">
        <w:rPr>
          <w:rFonts w:ascii="Verdana" w:hAnsi="Verdana"/>
          <w:color w:val="000000"/>
          <w:vertAlign w:val="superscript"/>
        </w:rPr>
        <w:t>646</w:t>
      </w:r>
    </w:p>
    <w:p w:rsidR="001729BF" w:rsidRPr="001729BF" w:rsidRDefault="001729BF">
      <w:pPr>
        <w:rPr>
          <w:rFonts w:ascii="Verdana" w:hAnsi="Verdana"/>
          <w:sz w:val="24"/>
          <w:szCs w:val="24"/>
        </w:rPr>
      </w:pPr>
    </w:p>
    <w:p w:rsidR="001729BF" w:rsidRDefault="001729BF" w:rsidP="001729BF">
      <w:pPr>
        <w:pStyle w:val="NormaleWeb"/>
        <w:jc w:val="center"/>
        <w:rPr>
          <w:rFonts w:ascii="Verdana" w:hAnsi="Verdana"/>
          <w:bCs/>
          <w:color w:val="663300"/>
        </w:rPr>
      </w:pPr>
      <w:r w:rsidRPr="001729BF">
        <w:rPr>
          <w:rFonts w:ascii="Verdana" w:hAnsi="Verdana"/>
          <w:bCs/>
          <w:color w:val="663300"/>
        </w:rPr>
        <w:t>(omissis)</w:t>
      </w:r>
    </w:p>
    <w:p w:rsidR="0002048B" w:rsidRPr="001729BF" w:rsidRDefault="0002048B" w:rsidP="001729BF">
      <w:pPr>
        <w:pStyle w:val="NormaleWeb"/>
        <w:jc w:val="center"/>
        <w:rPr>
          <w:rFonts w:ascii="Verdana" w:hAnsi="Verdana"/>
          <w:bCs/>
          <w:color w:val="663300"/>
        </w:rPr>
      </w:pPr>
      <w:bookmarkStart w:id="4" w:name="_GoBack"/>
      <w:bookmarkEnd w:id="4"/>
    </w:p>
    <w:p w:rsidR="001729BF" w:rsidRDefault="001729BF" w:rsidP="001729B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Città del Vaticano, 2 aprile 2004, Memoria di San Francesco da Paola.</w:t>
      </w:r>
    </w:p>
    <w:p w:rsidR="001729BF" w:rsidRDefault="001729BF" w:rsidP="001729BF">
      <w:pPr>
        <w:pStyle w:val="Normale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Renato Raffaele Card. Martino</w:t>
      </w:r>
      <w:r>
        <w:rPr>
          <w:i/>
          <w:iCs/>
          <w:color w:val="000000"/>
          <w:sz w:val="27"/>
          <w:szCs w:val="27"/>
        </w:rPr>
        <w:br/>
        <w:t>Presidente</w:t>
      </w:r>
    </w:p>
    <w:p w:rsidR="001729BF" w:rsidRDefault="001729BF" w:rsidP="001729BF">
      <w:pPr>
        <w:pStyle w:val="Normale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+ Giampaolo </w:t>
      </w:r>
      <w:proofErr w:type="spellStart"/>
      <w:r>
        <w:rPr>
          <w:color w:val="000000"/>
          <w:sz w:val="27"/>
          <w:szCs w:val="27"/>
        </w:rPr>
        <w:t>Crepaldi</w:t>
      </w:r>
      <w:proofErr w:type="spellEnd"/>
      <w:r>
        <w:rPr>
          <w:i/>
          <w:iCs/>
          <w:color w:val="000000"/>
          <w:sz w:val="27"/>
          <w:szCs w:val="27"/>
        </w:rPr>
        <w:br/>
        <w:t>Segretario</w:t>
      </w:r>
    </w:p>
    <w:p w:rsidR="001729BF" w:rsidRPr="001729BF" w:rsidRDefault="001729BF">
      <w:pPr>
        <w:rPr>
          <w:rFonts w:ascii="Verdana" w:hAnsi="Verdana"/>
          <w:sz w:val="24"/>
          <w:szCs w:val="24"/>
        </w:rPr>
      </w:pPr>
    </w:p>
    <w:sectPr w:rsidR="001729BF" w:rsidRPr="001729B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8B" w:rsidRDefault="0002048B" w:rsidP="0002048B">
      <w:pPr>
        <w:spacing w:after="0" w:line="240" w:lineRule="auto"/>
      </w:pPr>
      <w:r>
        <w:separator/>
      </w:r>
    </w:p>
  </w:endnote>
  <w:endnote w:type="continuationSeparator" w:id="0">
    <w:p w:rsidR="0002048B" w:rsidRDefault="0002048B" w:rsidP="0002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8B" w:rsidRPr="0002048B" w:rsidRDefault="0002048B">
    <w:pPr>
      <w:pStyle w:val="Pidipagina"/>
      <w:rPr>
        <w:rFonts w:ascii="Verdana" w:hAnsi="Verdana"/>
        <w:sz w:val="20"/>
        <w:szCs w:val="20"/>
      </w:rPr>
    </w:pPr>
    <w:r w:rsidRPr="0002048B">
      <w:rPr>
        <w:rFonts w:ascii="Verdana" w:hAnsi="Verdana"/>
        <w:sz w:val="20"/>
        <w:szCs w:val="20"/>
      </w:rPr>
      <w:t>Documenti pontifici e della Santa Sede. “Compendio della dottrina sociale della Chiesa. Pontificio Consiglio della giustizia e della pace. 2004.</w:t>
    </w:r>
  </w:p>
  <w:p w:rsidR="0002048B" w:rsidRPr="0002048B" w:rsidRDefault="0002048B">
    <w:pPr>
      <w:pStyle w:val="Pidipagin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8B" w:rsidRDefault="0002048B" w:rsidP="0002048B">
      <w:pPr>
        <w:spacing w:after="0" w:line="240" w:lineRule="auto"/>
      </w:pPr>
      <w:r>
        <w:separator/>
      </w:r>
    </w:p>
  </w:footnote>
  <w:footnote w:type="continuationSeparator" w:id="0">
    <w:p w:rsidR="0002048B" w:rsidRDefault="0002048B" w:rsidP="00020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865701"/>
      <w:docPartObj>
        <w:docPartGallery w:val="Page Numbers (Top of Page)"/>
        <w:docPartUnique/>
      </w:docPartObj>
    </w:sdtPr>
    <w:sdtContent>
      <w:p w:rsidR="0002048B" w:rsidRDefault="0002048B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2048B" w:rsidRDefault="0002048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BF"/>
    <w:rsid w:val="0002048B"/>
    <w:rsid w:val="001729BF"/>
    <w:rsid w:val="006B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7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729BF"/>
  </w:style>
  <w:style w:type="character" w:styleId="Collegamentoipertestuale">
    <w:name w:val="Hyperlink"/>
    <w:basedOn w:val="Carpredefinitoparagrafo"/>
    <w:uiPriority w:val="99"/>
    <w:semiHidden/>
    <w:unhideWhenUsed/>
    <w:rsid w:val="001729B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04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48B"/>
  </w:style>
  <w:style w:type="paragraph" w:styleId="Pidipagina">
    <w:name w:val="footer"/>
    <w:basedOn w:val="Normale"/>
    <w:link w:val="PidipaginaCarattere"/>
    <w:uiPriority w:val="99"/>
    <w:unhideWhenUsed/>
    <w:rsid w:val="000204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4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7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729BF"/>
  </w:style>
  <w:style w:type="character" w:styleId="Collegamentoipertestuale">
    <w:name w:val="Hyperlink"/>
    <w:basedOn w:val="Carpredefinitoparagrafo"/>
    <w:uiPriority w:val="99"/>
    <w:semiHidden/>
    <w:unhideWhenUsed/>
    <w:rsid w:val="001729B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04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48B"/>
  </w:style>
  <w:style w:type="paragraph" w:styleId="Pidipagina">
    <w:name w:val="footer"/>
    <w:basedOn w:val="Normale"/>
    <w:link w:val="PidipaginaCarattere"/>
    <w:uiPriority w:val="99"/>
    <w:unhideWhenUsed/>
    <w:rsid w:val="000204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4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BB"/>
    <w:rsid w:val="005E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33F8043BEC84A5A950B8D8EEEFCF336">
    <w:name w:val="B33F8043BEC84A5A950B8D8EEEFCF336"/>
    <w:rsid w:val="005E4A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33F8043BEC84A5A950B8D8EEEFCF336">
    <w:name w:val="B33F8043BEC84A5A950B8D8EEEFCF336"/>
    <w:rsid w:val="005E4A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2013-10-15T07:25:00Z</dcterms:created>
  <dcterms:modified xsi:type="dcterms:W3CDTF">2013-10-15T07:41:00Z</dcterms:modified>
</cp:coreProperties>
</file>